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CA" w:rsidRPr="00F41CCA" w:rsidRDefault="00F41CCA" w:rsidP="00F41CCA">
      <w:pPr>
        <w:shd w:val="clear" w:color="auto" w:fill="FFFFFF"/>
        <w:spacing w:before="150" w:after="150" w:line="240" w:lineRule="auto"/>
        <w:outlineLvl w:val="1"/>
        <w:rPr>
          <w:rFonts w:ascii="Verdana" w:eastAsia="Times New Roman" w:hAnsi="Verdana" w:cs="Times New Roman"/>
          <w:color w:val="333333"/>
          <w:sz w:val="42"/>
          <w:szCs w:val="42"/>
          <w:lang w:eastAsia="en-GB"/>
        </w:rPr>
      </w:pPr>
      <w:r w:rsidRPr="00F41CCA">
        <w:rPr>
          <w:rFonts w:ascii="Verdana" w:eastAsia="Times New Roman" w:hAnsi="Verdana" w:cs="Times New Roman"/>
          <w:color w:val="333333"/>
          <w:sz w:val="42"/>
          <w:szCs w:val="42"/>
          <w:lang w:eastAsia="en-GB"/>
        </w:rPr>
        <w:t>Culture and Leisure Services</w:t>
      </w:r>
    </w:p>
    <w:p w:rsidR="00F41CCA" w:rsidRPr="00F41CCA" w:rsidRDefault="00F41CCA" w:rsidP="00F41CCA">
      <w:pPr>
        <w:shd w:val="clear" w:color="auto" w:fill="FFFFFF"/>
        <w:spacing w:before="225" w:after="225" w:line="360" w:lineRule="atLeast"/>
        <w:rPr>
          <w:rFonts w:ascii="Verdana" w:eastAsia="Times New Roman" w:hAnsi="Verdana" w:cs="Times New Roman"/>
          <w:color w:val="333333"/>
          <w:sz w:val="23"/>
          <w:szCs w:val="23"/>
          <w:lang w:eastAsia="en-GB"/>
        </w:rPr>
      </w:pPr>
      <w:r w:rsidRPr="00F41CCA">
        <w:rPr>
          <w:rFonts w:ascii="Verdana" w:eastAsia="Times New Roman" w:hAnsi="Verdana" w:cs="Times New Roman"/>
          <w:b/>
          <w:bCs/>
          <w:color w:val="333333"/>
          <w:sz w:val="23"/>
          <w:szCs w:val="23"/>
          <w:lang w:eastAsia="en-GB"/>
        </w:rPr>
        <w:t>Service Overview</w:t>
      </w:r>
    </w:p>
    <w:p w:rsidR="00F41CCA" w:rsidRPr="00F41CCA" w:rsidRDefault="00F41CCA" w:rsidP="00F41CCA">
      <w:pPr>
        <w:shd w:val="clear" w:color="auto" w:fill="FFFFFF"/>
        <w:spacing w:before="225" w:after="225" w:line="360" w:lineRule="atLeast"/>
        <w:rPr>
          <w:rFonts w:ascii="Verdana" w:eastAsia="Times New Roman" w:hAnsi="Verdana" w:cs="Times New Roman"/>
          <w:color w:val="333333"/>
          <w:sz w:val="23"/>
          <w:szCs w:val="23"/>
          <w:lang w:eastAsia="en-GB"/>
        </w:rPr>
      </w:pPr>
      <w:r w:rsidRPr="00F41CCA">
        <w:rPr>
          <w:rFonts w:ascii="Verdana" w:eastAsia="Times New Roman" w:hAnsi="Verdana" w:cs="Times New Roman"/>
          <w:color w:val="333333"/>
          <w:sz w:val="23"/>
          <w:szCs w:val="23"/>
          <w:lang w:eastAsia="en-GB"/>
        </w:rPr>
        <w:t xml:space="preserve">The majority of Cultural Services indicators fall under the remit of the Education &amp; </w:t>
      </w:r>
      <w:r>
        <w:rPr>
          <w:rFonts w:ascii="Verdana" w:eastAsia="Times New Roman" w:hAnsi="Verdana" w:cs="Times New Roman"/>
          <w:color w:val="333333"/>
          <w:sz w:val="23"/>
          <w:szCs w:val="23"/>
          <w:lang w:eastAsia="en-GB"/>
        </w:rPr>
        <w:t>Children’</w:t>
      </w:r>
      <w:r w:rsidRPr="00F41CCA">
        <w:rPr>
          <w:rFonts w:ascii="Verdana" w:eastAsia="Times New Roman" w:hAnsi="Verdana" w:cs="Times New Roman"/>
          <w:color w:val="333333"/>
          <w:sz w:val="23"/>
          <w:szCs w:val="23"/>
          <w:lang w:eastAsia="en-GB"/>
        </w:rPr>
        <w:t xml:space="preserve">s Service Directorate. </w:t>
      </w:r>
      <w:r>
        <w:rPr>
          <w:rFonts w:ascii="Verdana" w:eastAsia="Times New Roman" w:hAnsi="Verdana" w:cs="Times New Roman"/>
          <w:color w:val="333333"/>
          <w:sz w:val="23"/>
          <w:szCs w:val="23"/>
          <w:lang w:eastAsia="en-GB"/>
        </w:rPr>
        <w:t>This is an integrated service, providing</w:t>
      </w:r>
      <w:r w:rsidRPr="008E2059">
        <w:rPr>
          <w:rFonts w:ascii="Verdana" w:eastAsia="Times New Roman" w:hAnsi="Verdana" w:cs="Times New Roman"/>
          <w:color w:val="333333"/>
          <w:sz w:val="23"/>
          <w:szCs w:val="23"/>
          <w:lang w:eastAsia="en-GB"/>
        </w:rPr>
        <w:t xml:space="preserve"> a wide range of services including schools, nurseries, early intervention and targeted support for children </w:t>
      </w:r>
      <w:r>
        <w:rPr>
          <w:rFonts w:ascii="Verdana" w:eastAsia="Times New Roman" w:hAnsi="Verdana" w:cs="Times New Roman"/>
          <w:color w:val="333333"/>
          <w:sz w:val="23"/>
          <w:szCs w:val="23"/>
          <w:lang w:eastAsia="en-GB"/>
        </w:rPr>
        <w:t xml:space="preserve">and families, child protection as well as </w:t>
      </w:r>
      <w:r w:rsidRPr="008E2059">
        <w:rPr>
          <w:rFonts w:ascii="Verdana" w:eastAsia="Times New Roman" w:hAnsi="Verdana" w:cs="Times New Roman"/>
          <w:color w:val="333333"/>
          <w:sz w:val="23"/>
          <w:szCs w:val="23"/>
          <w:lang w:eastAsia="en-GB"/>
        </w:rPr>
        <w:t xml:space="preserve">cultural services, sport and leisure and community learning </w:t>
      </w:r>
      <w:r>
        <w:rPr>
          <w:rFonts w:ascii="Verdana" w:eastAsia="Times New Roman" w:hAnsi="Verdana" w:cs="Times New Roman"/>
          <w:color w:val="333333"/>
          <w:sz w:val="23"/>
          <w:szCs w:val="23"/>
          <w:lang w:eastAsia="en-GB"/>
        </w:rPr>
        <w:t xml:space="preserve">and development. </w:t>
      </w:r>
      <w:r w:rsidRPr="00F41CCA">
        <w:rPr>
          <w:rFonts w:ascii="Verdana" w:eastAsia="Times New Roman" w:hAnsi="Verdana" w:cs="Times New Roman"/>
          <w:color w:val="333333"/>
          <w:sz w:val="23"/>
          <w:szCs w:val="23"/>
          <w:lang w:eastAsia="en-GB"/>
        </w:rPr>
        <w:t xml:space="preserve">Our parks and open spaces </w:t>
      </w:r>
      <w:r>
        <w:rPr>
          <w:rFonts w:ascii="Verdana" w:eastAsia="Times New Roman" w:hAnsi="Verdana" w:cs="Times New Roman"/>
          <w:color w:val="333333"/>
          <w:sz w:val="23"/>
          <w:szCs w:val="23"/>
          <w:lang w:eastAsia="en-GB"/>
        </w:rPr>
        <w:t xml:space="preserve">(for which there are two measures under the Culture and Leisure Services heading) </w:t>
      </w:r>
      <w:r w:rsidRPr="00F41CCA">
        <w:rPr>
          <w:rFonts w:ascii="Verdana" w:eastAsia="Times New Roman" w:hAnsi="Verdana" w:cs="Times New Roman"/>
          <w:color w:val="333333"/>
          <w:sz w:val="23"/>
          <w:szCs w:val="23"/>
          <w:lang w:eastAsia="en-GB"/>
        </w:rPr>
        <w:t>are overseen by Infrastructure Services.</w:t>
      </w:r>
    </w:p>
    <w:p w:rsidR="00F41CCA" w:rsidRPr="008E2059" w:rsidRDefault="00F41CCA" w:rsidP="00F41CCA">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The</w:t>
      </w:r>
      <w:r w:rsidRPr="008E2059">
        <w:rPr>
          <w:rFonts w:ascii="Verdana" w:eastAsia="Times New Roman" w:hAnsi="Verdana" w:cs="Times New Roman"/>
          <w:color w:val="333333"/>
          <w:sz w:val="23"/>
          <w:szCs w:val="23"/>
          <w:lang w:eastAsia="en-GB"/>
        </w:rPr>
        <w:t xml:space="preserve"> main objectives </w:t>
      </w:r>
      <w:r>
        <w:rPr>
          <w:rFonts w:ascii="Verdana" w:eastAsia="Times New Roman" w:hAnsi="Verdana" w:cs="Times New Roman"/>
          <w:color w:val="333333"/>
          <w:sz w:val="23"/>
          <w:szCs w:val="23"/>
          <w:lang w:eastAsia="en-GB"/>
        </w:rPr>
        <w:t xml:space="preserve">of the service </w:t>
      </w:r>
      <w:r w:rsidRPr="008E2059">
        <w:rPr>
          <w:rFonts w:ascii="Verdana" w:eastAsia="Times New Roman" w:hAnsi="Verdana" w:cs="Times New Roman"/>
          <w:color w:val="333333"/>
          <w:sz w:val="23"/>
          <w:szCs w:val="23"/>
          <w:lang w:eastAsia="en-GB"/>
        </w:rPr>
        <w:t>are:</w:t>
      </w:r>
    </w:p>
    <w:p w:rsidR="00F41CCA" w:rsidRPr="008E2059" w:rsidRDefault="00F41CCA" w:rsidP="00F41CCA">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improve learning</w:t>
      </w:r>
    </w:p>
    <w:p w:rsidR="00F41CCA" w:rsidRPr="008E2059" w:rsidRDefault="00F41CCA" w:rsidP="00F41CCA">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ensure an inclusive culture</w:t>
      </w:r>
    </w:p>
    <w:p w:rsidR="00F41CCA" w:rsidRPr="008E2059" w:rsidRDefault="00F41CCA" w:rsidP="00F41CCA">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support the development of sustainable Communities</w:t>
      </w:r>
    </w:p>
    <w:p w:rsidR="00F41CCA" w:rsidRPr="008E2059" w:rsidRDefault="00F41CCA" w:rsidP="00F41CCA">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encourage a culture of continuous improvement that ensures that our service is high quality, efficient and responsive to people's needs</w:t>
      </w:r>
    </w:p>
    <w:p w:rsidR="00F41CCA" w:rsidRPr="00F41CCA" w:rsidRDefault="004E6585" w:rsidP="00816D81">
      <w:pPr>
        <w:pStyle w:val="BodyText"/>
        <w:spacing w:before="225" w:after="225" w:line="360" w:lineRule="atLeast"/>
        <w:ind w:left="0"/>
        <w:rPr>
          <w:rFonts w:ascii="Verdana" w:eastAsia="Times New Roman" w:hAnsi="Verdana"/>
          <w:color w:val="333333"/>
          <w:sz w:val="23"/>
          <w:szCs w:val="23"/>
          <w:lang w:val="en-GB" w:eastAsia="en-GB"/>
        </w:rPr>
      </w:pPr>
      <w:r w:rsidRPr="002C7D82">
        <w:rPr>
          <w:rFonts w:ascii="Verdana" w:eastAsia="Times New Roman" w:hAnsi="Verdana"/>
          <w:color w:val="333333"/>
          <w:sz w:val="23"/>
          <w:szCs w:val="23"/>
          <w:lang w:val="en-GB" w:eastAsia="en-GB"/>
        </w:rPr>
        <w:t xml:space="preserve">The Education and Children’s Service is the largest of Aberdeenshire Council’s services, and accounts for 56.1% of the total spend of the Council’s budget— the total Council budget being £538,838,000 in 2014/15. There are </w:t>
      </w:r>
      <w:r w:rsidR="00816D81">
        <w:rPr>
          <w:rFonts w:ascii="Verdana" w:eastAsia="Times New Roman" w:hAnsi="Verdana"/>
          <w:color w:val="333333"/>
          <w:sz w:val="23"/>
          <w:szCs w:val="23"/>
          <w:lang w:val="en-GB" w:eastAsia="en-GB"/>
        </w:rPr>
        <w:t xml:space="preserve">well over 100 community sports and leisure </w:t>
      </w:r>
      <w:r w:rsidR="00F7704B">
        <w:rPr>
          <w:rFonts w:ascii="Verdana" w:eastAsia="Times New Roman" w:hAnsi="Verdana"/>
          <w:color w:val="333333"/>
          <w:sz w:val="23"/>
          <w:szCs w:val="23"/>
          <w:lang w:val="en-GB" w:eastAsia="en-GB"/>
        </w:rPr>
        <w:t>facilities</w:t>
      </w:r>
      <w:r w:rsidR="00816D81">
        <w:rPr>
          <w:rFonts w:ascii="Verdana" w:eastAsia="Times New Roman" w:hAnsi="Verdana"/>
          <w:color w:val="333333"/>
          <w:sz w:val="23"/>
          <w:szCs w:val="23"/>
          <w:lang w:val="en-GB" w:eastAsia="en-GB"/>
        </w:rPr>
        <w:t xml:space="preserve">, ranging from community pavilions to extensive sports hubs, </w:t>
      </w:r>
      <w:r w:rsidRPr="002C7D82">
        <w:rPr>
          <w:rFonts w:ascii="Verdana" w:eastAsia="Times New Roman" w:hAnsi="Verdana"/>
          <w:color w:val="333333"/>
          <w:sz w:val="23"/>
          <w:szCs w:val="23"/>
          <w:lang w:val="en-GB" w:eastAsia="en-GB"/>
        </w:rPr>
        <w:t>20 leisure facilities</w:t>
      </w:r>
      <w:r w:rsidR="00816D81">
        <w:rPr>
          <w:rFonts w:ascii="Verdana" w:eastAsia="Times New Roman" w:hAnsi="Verdana"/>
          <w:color w:val="333333"/>
          <w:sz w:val="23"/>
          <w:szCs w:val="23"/>
          <w:lang w:val="en-GB" w:eastAsia="en-GB"/>
        </w:rPr>
        <w:t xml:space="preserve">, </w:t>
      </w:r>
      <w:r w:rsidRPr="002C7D82">
        <w:rPr>
          <w:rFonts w:ascii="Verdana" w:eastAsia="Times New Roman" w:hAnsi="Verdana"/>
          <w:color w:val="333333"/>
          <w:sz w:val="23"/>
          <w:szCs w:val="23"/>
          <w:lang w:val="en-GB" w:eastAsia="en-GB"/>
        </w:rPr>
        <w:t xml:space="preserve">36 </w:t>
      </w:r>
      <w:r>
        <w:rPr>
          <w:rFonts w:ascii="Verdana" w:eastAsia="Times New Roman" w:hAnsi="Verdana"/>
          <w:color w:val="333333"/>
          <w:sz w:val="23"/>
          <w:szCs w:val="23"/>
          <w:lang w:val="en-GB" w:eastAsia="en-GB"/>
        </w:rPr>
        <w:t xml:space="preserve">fixed </w:t>
      </w:r>
      <w:r w:rsidRPr="002C7D82">
        <w:rPr>
          <w:rFonts w:ascii="Verdana" w:eastAsia="Times New Roman" w:hAnsi="Verdana"/>
          <w:color w:val="333333"/>
          <w:sz w:val="23"/>
          <w:szCs w:val="23"/>
          <w:lang w:val="en-GB" w:eastAsia="en-GB"/>
        </w:rPr>
        <w:t>libraries, 4 mobile libraries</w:t>
      </w:r>
      <w:r w:rsidR="00816D81">
        <w:rPr>
          <w:rFonts w:ascii="Verdana" w:eastAsia="Times New Roman" w:hAnsi="Verdana"/>
          <w:color w:val="333333"/>
          <w:sz w:val="23"/>
          <w:szCs w:val="23"/>
          <w:lang w:val="en-GB" w:eastAsia="en-GB"/>
        </w:rPr>
        <w:t>, 3</w:t>
      </w:r>
      <w:r w:rsidRPr="002C7D82">
        <w:rPr>
          <w:rFonts w:ascii="Verdana" w:eastAsia="Times New Roman" w:hAnsi="Verdana"/>
          <w:color w:val="333333"/>
          <w:sz w:val="23"/>
          <w:szCs w:val="23"/>
          <w:lang w:val="en-GB" w:eastAsia="en-GB"/>
        </w:rPr>
        <w:t xml:space="preserve"> museums and visitor centres. Pop up museums have also been established.</w:t>
      </w:r>
      <w:r w:rsidR="00F41CCA" w:rsidRPr="00F41CCA">
        <w:rPr>
          <w:rFonts w:ascii="Verdana" w:eastAsia="Times New Roman" w:hAnsi="Verdana"/>
          <w:color w:val="333333"/>
          <w:sz w:val="23"/>
          <w:szCs w:val="23"/>
          <w:lang w:eastAsia="en-GB"/>
        </w:rPr>
        <w:t> </w:t>
      </w:r>
    </w:p>
    <w:p w:rsidR="00F41CCA" w:rsidRPr="00F41CCA" w:rsidRDefault="00F41CCA" w:rsidP="00F41CCA">
      <w:pPr>
        <w:shd w:val="clear" w:color="auto" w:fill="FFFFFF"/>
        <w:spacing w:before="225" w:after="225" w:line="360" w:lineRule="atLeast"/>
        <w:rPr>
          <w:rFonts w:ascii="Verdana" w:eastAsia="Times New Roman" w:hAnsi="Verdana" w:cs="Times New Roman"/>
          <w:color w:val="333333"/>
          <w:sz w:val="23"/>
          <w:szCs w:val="23"/>
          <w:lang w:eastAsia="en-GB"/>
        </w:rPr>
      </w:pPr>
      <w:r w:rsidRPr="00F41CCA">
        <w:rPr>
          <w:rFonts w:ascii="Verdana" w:eastAsia="Times New Roman" w:hAnsi="Verdana" w:cs="Times New Roman"/>
          <w:color w:val="333333"/>
          <w:sz w:val="23"/>
          <w:szCs w:val="23"/>
          <w:lang w:eastAsia="en-GB"/>
        </w:rPr>
        <w:t>Follow the links below to find out more</w:t>
      </w:r>
      <w:proofErr w:type="gramStart"/>
      <w:r w:rsidRPr="00F41CCA">
        <w:rPr>
          <w:rFonts w:ascii="Verdana" w:eastAsia="Times New Roman" w:hAnsi="Verdana" w:cs="Times New Roman"/>
          <w:color w:val="333333"/>
          <w:sz w:val="23"/>
          <w:szCs w:val="23"/>
          <w:lang w:eastAsia="en-GB"/>
        </w:rPr>
        <w:t>:</w:t>
      </w:r>
      <w:proofErr w:type="gramEnd"/>
      <w:r w:rsidR="00816D81">
        <w:rPr>
          <w:rFonts w:ascii="Verdana" w:eastAsia="Times New Roman" w:hAnsi="Verdana" w:cs="Times New Roman"/>
          <w:color w:val="333333"/>
          <w:sz w:val="23"/>
          <w:szCs w:val="23"/>
          <w:lang w:eastAsia="en-GB"/>
        </w:rPr>
        <w:br/>
      </w:r>
      <w:r w:rsidRPr="00F41CCA">
        <w:rPr>
          <w:rFonts w:ascii="Verdana" w:eastAsia="Times New Roman" w:hAnsi="Verdana" w:cs="Times New Roman"/>
          <w:color w:val="333333"/>
          <w:sz w:val="23"/>
          <w:szCs w:val="23"/>
          <w:lang w:eastAsia="en-GB"/>
        </w:rPr>
        <w:br/>
      </w:r>
      <w:hyperlink r:id="rId5" w:history="1">
        <w:r w:rsidRPr="00F41CCA">
          <w:rPr>
            <w:rFonts w:ascii="Verdana" w:eastAsia="Times New Roman" w:hAnsi="Verdana" w:cs="Times New Roman"/>
            <w:color w:val="1D50A9"/>
            <w:sz w:val="23"/>
            <w:szCs w:val="23"/>
            <w:lang w:eastAsia="en-GB"/>
          </w:rPr>
          <w:t>Sports &amp; Leisure</w:t>
        </w:r>
      </w:hyperlink>
    </w:p>
    <w:p w:rsidR="00F41CCA" w:rsidRPr="00F41CCA" w:rsidRDefault="00973B71" w:rsidP="00F41CCA">
      <w:pPr>
        <w:shd w:val="clear" w:color="auto" w:fill="FFFFFF"/>
        <w:spacing w:before="225" w:after="225" w:line="360" w:lineRule="atLeast"/>
        <w:rPr>
          <w:rFonts w:ascii="Verdana" w:eastAsia="Times New Roman" w:hAnsi="Verdana" w:cs="Times New Roman"/>
          <w:color w:val="333333"/>
          <w:sz w:val="23"/>
          <w:szCs w:val="23"/>
          <w:lang w:eastAsia="en-GB"/>
        </w:rPr>
      </w:pPr>
      <w:hyperlink r:id="rId6" w:history="1">
        <w:r w:rsidR="00F41CCA" w:rsidRPr="00F41CCA">
          <w:rPr>
            <w:rFonts w:ascii="Verdana" w:eastAsia="Times New Roman" w:hAnsi="Verdana" w:cs="Times New Roman"/>
            <w:color w:val="1D50A9"/>
            <w:sz w:val="23"/>
            <w:szCs w:val="23"/>
            <w:lang w:eastAsia="en-GB"/>
          </w:rPr>
          <w:t>Museums</w:t>
        </w:r>
      </w:hyperlink>
    </w:p>
    <w:p w:rsidR="00F41CCA" w:rsidRPr="00F41CCA" w:rsidRDefault="00973B71" w:rsidP="00F41CCA">
      <w:pPr>
        <w:shd w:val="clear" w:color="auto" w:fill="FFFFFF"/>
        <w:spacing w:before="225" w:after="225" w:line="360" w:lineRule="atLeast"/>
        <w:rPr>
          <w:rFonts w:ascii="Verdana" w:eastAsia="Times New Roman" w:hAnsi="Verdana" w:cs="Times New Roman"/>
          <w:color w:val="333333"/>
          <w:sz w:val="23"/>
          <w:szCs w:val="23"/>
          <w:lang w:eastAsia="en-GB"/>
        </w:rPr>
      </w:pPr>
      <w:hyperlink r:id="rId7" w:history="1">
        <w:r w:rsidR="00F41CCA" w:rsidRPr="00F41CCA">
          <w:rPr>
            <w:rFonts w:ascii="Verdana" w:eastAsia="Times New Roman" w:hAnsi="Verdana" w:cs="Times New Roman"/>
            <w:color w:val="1D50A9"/>
            <w:sz w:val="23"/>
            <w:szCs w:val="23"/>
            <w:lang w:eastAsia="en-GB"/>
          </w:rPr>
          <w:t>Libraries</w:t>
        </w:r>
      </w:hyperlink>
    </w:p>
    <w:p w:rsidR="00F41CCA" w:rsidRPr="00F41CCA" w:rsidRDefault="00973B71" w:rsidP="00F41CCA">
      <w:pPr>
        <w:shd w:val="clear" w:color="auto" w:fill="FFFFFF"/>
        <w:spacing w:before="225" w:after="225" w:line="360" w:lineRule="atLeast"/>
        <w:rPr>
          <w:rFonts w:ascii="Verdana" w:eastAsia="Times New Roman" w:hAnsi="Verdana" w:cs="Times New Roman"/>
          <w:color w:val="333333"/>
          <w:sz w:val="23"/>
          <w:szCs w:val="23"/>
          <w:lang w:eastAsia="en-GB"/>
        </w:rPr>
      </w:pPr>
      <w:hyperlink r:id="rId8" w:history="1">
        <w:r w:rsidR="00F41CCA" w:rsidRPr="00F41CCA">
          <w:rPr>
            <w:rFonts w:ascii="Verdana" w:eastAsia="Times New Roman" w:hAnsi="Verdana" w:cs="Times New Roman"/>
            <w:color w:val="1D50A9"/>
            <w:sz w:val="23"/>
            <w:szCs w:val="23"/>
            <w:lang w:eastAsia="en-GB"/>
          </w:rPr>
          <w:t>Parks and Open Spaces</w:t>
        </w:r>
      </w:hyperlink>
    </w:p>
    <w:p w:rsidR="001C1853" w:rsidRDefault="001C1853" w:rsidP="00F41CCA">
      <w:pPr>
        <w:shd w:val="clear" w:color="auto" w:fill="FFFFFF"/>
        <w:spacing w:before="225" w:after="225" w:line="360" w:lineRule="atLeast"/>
        <w:rPr>
          <w:rFonts w:ascii="Verdana" w:eastAsia="Times New Roman" w:hAnsi="Verdana" w:cs="Times New Roman"/>
          <w:b/>
          <w:bCs/>
          <w:color w:val="333333"/>
          <w:sz w:val="23"/>
          <w:szCs w:val="23"/>
          <w:lang w:eastAsia="en-GB"/>
        </w:rPr>
      </w:pPr>
    </w:p>
    <w:p w:rsidR="00F41CCA" w:rsidRPr="00F41CCA" w:rsidRDefault="00816D81" w:rsidP="00F41CCA">
      <w:pPr>
        <w:shd w:val="clear" w:color="auto" w:fill="FFFFFF"/>
        <w:spacing w:before="225" w:after="225" w:line="360" w:lineRule="atLeast"/>
        <w:rPr>
          <w:rFonts w:ascii="Verdana" w:eastAsia="Times New Roman" w:hAnsi="Verdana" w:cs="Times New Roman"/>
          <w:color w:val="333333"/>
          <w:sz w:val="24"/>
          <w:szCs w:val="24"/>
          <w:lang w:eastAsia="en-GB"/>
        </w:rPr>
      </w:pPr>
      <w:r w:rsidRPr="001C1853">
        <w:rPr>
          <w:rFonts w:ascii="Verdana" w:eastAsia="Times New Roman" w:hAnsi="Verdana" w:cs="Times New Roman"/>
          <w:b/>
          <w:bCs/>
          <w:color w:val="333333"/>
          <w:sz w:val="24"/>
          <w:szCs w:val="24"/>
          <w:lang w:eastAsia="en-GB"/>
        </w:rPr>
        <w:lastRenderedPageBreak/>
        <w:t>Highlights for 2014/15</w:t>
      </w:r>
    </w:p>
    <w:p w:rsidR="00F41CCA" w:rsidRPr="006232BD" w:rsidRDefault="00CC576F" w:rsidP="00F41CCA">
      <w:pPr>
        <w:shd w:val="clear" w:color="auto" w:fill="FFFFFF"/>
        <w:spacing w:before="225" w:after="225" w:line="360" w:lineRule="atLeast"/>
        <w:rPr>
          <w:rFonts w:ascii="Verdana" w:eastAsia="Times New Roman" w:hAnsi="Verdana" w:cs="Times New Roman"/>
          <w:b/>
          <w:color w:val="333333"/>
          <w:sz w:val="23"/>
          <w:szCs w:val="23"/>
          <w:lang w:eastAsia="en-GB"/>
        </w:rPr>
      </w:pPr>
      <w:r w:rsidRPr="006232BD">
        <w:rPr>
          <w:rFonts w:ascii="Verdana" w:eastAsia="Times New Roman" w:hAnsi="Verdana" w:cs="Times New Roman"/>
          <w:b/>
          <w:color w:val="333333"/>
          <w:sz w:val="23"/>
          <w:szCs w:val="23"/>
          <w:lang w:eastAsia="en-GB"/>
        </w:rPr>
        <w:t>Awards</w:t>
      </w:r>
    </w:p>
    <w:p w:rsidR="00CC576F" w:rsidRPr="006B48A7" w:rsidRDefault="00CC576F" w:rsidP="006232BD">
      <w:pPr>
        <w:shd w:val="clear" w:color="auto" w:fill="FFFFFF"/>
        <w:spacing w:after="0" w:line="315" w:lineRule="atLeast"/>
        <w:textAlignment w:val="baseline"/>
        <w:rPr>
          <w:rFonts w:ascii="Myriad Pro" w:hAnsi="Myriad Pro"/>
        </w:rPr>
      </w:pPr>
      <w:r w:rsidRPr="00CC576F">
        <w:rPr>
          <w:rFonts w:ascii="Myriad Pro" w:hAnsi="Myriad Pro"/>
        </w:rPr>
        <w:t xml:space="preserve">The Library and Information Service was awarded a 2015 COSLA Gold award within the “Achieving better outcomes category” for its collaborative work with the Scottish Prison Service to provide a ground breaking local library service in the new HMP &amp; YOI Grampian in Peterhead. Building on evidence that access to reading, learning and literature contributes to reducing reoffending rates, plans were drawn up for an entirely new approach to local authority library provision within HMP Grampian as part of the construction of a new prison building. </w:t>
      </w:r>
    </w:p>
    <w:p w:rsidR="00CC576F" w:rsidRPr="006232BD" w:rsidRDefault="006232BD" w:rsidP="00F41CCA">
      <w:pPr>
        <w:shd w:val="clear" w:color="auto" w:fill="FFFFFF"/>
        <w:spacing w:before="225" w:after="225" w:line="360" w:lineRule="atLeast"/>
        <w:rPr>
          <w:rFonts w:ascii="Verdana" w:eastAsia="Times New Roman" w:hAnsi="Verdana" w:cs="Times New Roman"/>
          <w:b/>
          <w:color w:val="333333"/>
          <w:sz w:val="23"/>
          <w:szCs w:val="23"/>
          <w:lang w:eastAsia="en-GB"/>
        </w:rPr>
      </w:pPr>
      <w:r w:rsidRPr="006232BD">
        <w:rPr>
          <w:rFonts w:ascii="Verdana" w:eastAsia="Times New Roman" w:hAnsi="Verdana" w:cs="Times New Roman"/>
          <w:b/>
          <w:color w:val="333333"/>
          <w:sz w:val="23"/>
          <w:szCs w:val="23"/>
          <w:lang w:eastAsia="en-GB"/>
        </w:rPr>
        <w:t>Active Schools</w:t>
      </w:r>
    </w:p>
    <w:p w:rsidR="006232BD" w:rsidRPr="006232BD" w:rsidRDefault="006232BD" w:rsidP="006232BD">
      <w:pPr>
        <w:widowControl w:val="0"/>
        <w:spacing w:before="120" w:after="120" w:line="240" w:lineRule="auto"/>
        <w:rPr>
          <w:rFonts w:ascii="Myriad Pro" w:hAnsi="Myriad Pro"/>
        </w:rPr>
      </w:pPr>
      <w:r w:rsidRPr="006232BD">
        <w:rPr>
          <w:rFonts w:ascii="Myriad Pro" w:hAnsi="Myriad Pro"/>
        </w:rPr>
        <w:t>The Active Schools programme continues to provide a range of out of school physical activity opportunities for young people across Aberdeenshire. The number of participants and events has grown over the past three years as is evidenced by the following data which shows numbers of engagements by young people in events/activities organized through Active Schools:</w:t>
      </w:r>
    </w:p>
    <w:p w:rsidR="006232BD" w:rsidRPr="008634C3" w:rsidRDefault="006232BD" w:rsidP="006232BD">
      <w:pPr>
        <w:spacing w:before="120" w:after="120"/>
        <w:ind w:left="1440"/>
        <w:rPr>
          <w:rFonts w:ascii="Myriad Pro" w:hAnsi="Myriad Pro"/>
        </w:rPr>
      </w:pPr>
      <w:r w:rsidRPr="008634C3">
        <w:rPr>
          <w:rFonts w:ascii="Myriad Pro" w:hAnsi="Myriad Pro"/>
        </w:rPr>
        <w:t>2012/13</w:t>
      </w:r>
      <w:r w:rsidRPr="008634C3">
        <w:rPr>
          <w:rFonts w:ascii="Myriad Pro" w:hAnsi="Myriad Pro"/>
        </w:rPr>
        <w:tab/>
        <w:t>192000</w:t>
      </w:r>
    </w:p>
    <w:p w:rsidR="006232BD" w:rsidRPr="008634C3" w:rsidRDefault="006232BD" w:rsidP="006232BD">
      <w:pPr>
        <w:spacing w:before="120" w:after="120"/>
        <w:ind w:left="1440"/>
        <w:rPr>
          <w:rFonts w:ascii="Myriad Pro" w:hAnsi="Myriad Pro"/>
        </w:rPr>
      </w:pPr>
      <w:r w:rsidRPr="008634C3">
        <w:rPr>
          <w:rFonts w:ascii="Myriad Pro" w:hAnsi="Myriad Pro"/>
        </w:rPr>
        <w:t>2013/14</w:t>
      </w:r>
      <w:r w:rsidRPr="008634C3">
        <w:rPr>
          <w:rFonts w:ascii="Myriad Pro" w:hAnsi="Myriad Pro"/>
        </w:rPr>
        <w:tab/>
        <w:t>205000</w:t>
      </w:r>
    </w:p>
    <w:p w:rsidR="006232BD" w:rsidRPr="008634C3" w:rsidRDefault="006232BD" w:rsidP="006232BD">
      <w:pPr>
        <w:spacing w:before="120" w:after="120"/>
        <w:ind w:left="1440"/>
        <w:rPr>
          <w:rFonts w:ascii="Myriad Pro" w:hAnsi="Myriad Pro"/>
        </w:rPr>
      </w:pPr>
      <w:r w:rsidRPr="008634C3">
        <w:rPr>
          <w:rFonts w:ascii="Myriad Pro" w:hAnsi="Myriad Pro"/>
        </w:rPr>
        <w:t>2014/15</w:t>
      </w:r>
      <w:r w:rsidRPr="008634C3">
        <w:rPr>
          <w:rFonts w:ascii="Myriad Pro" w:hAnsi="Myriad Pro"/>
        </w:rPr>
        <w:tab/>
        <w:t>236000</w:t>
      </w:r>
    </w:p>
    <w:p w:rsidR="006232BD" w:rsidRDefault="006232BD" w:rsidP="006232BD">
      <w:pPr>
        <w:spacing w:before="120" w:after="120"/>
        <w:rPr>
          <w:rFonts w:ascii="Myriad Pro" w:hAnsi="Myriad Pro"/>
        </w:rPr>
      </w:pPr>
      <w:r>
        <w:rPr>
          <w:rFonts w:ascii="Myriad Pro" w:hAnsi="Myriad Pro"/>
        </w:rPr>
        <w:t xml:space="preserve">                                         </w:t>
      </w:r>
      <w:proofErr w:type="gramStart"/>
      <w:r>
        <w:rPr>
          <w:rFonts w:ascii="Myriad Pro" w:hAnsi="Myriad Pro"/>
        </w:rPr>
        <w:t>w</w:t>
      </w:r>
      <w:r w:rsidRPr="008634C3">
        <w:rPr>
          <w:rFonts w:ascii="Myriad Pro" w:hAnsi="Myriad Pro"/>
        </w:rPr>
        <w:t>hich</w:t>
      </w:r>
      <w:proofErr w:type="gramEnd"/>
      <w:r w:rsidRPr="008634C3">
        <w:rPr>
          <w:rFonts w:ascii="Myriad Pro" w:hAnsi="Myriad Pro"/>
        </w:rPr>
        <w:t xml:space="preserve"> represents a 23% increase over the three years. In addition, the Active School programme has a positive impact on communities by making the best of local volunteers supporting the delivery of activities. The number of volunteers involved in this way has grown in 2014/15 to over 800 (up 36% compared with 2013/14).</w:t>
      </w:r>
    </w:p>
    <w:p w:rsidR="006232BD" w:rsidRPr="008D7864" w:rsidRDefault="008D7864" w:rsidP="00F41CCA">
      <w:pPr>
        <w:shd w:val="clear" w:color="auto" w:fill="FFFFFF"/>
        <w:spacing w:before="225" w:after="225" w:line="360" w:lineRule="atLeast"/>
        <w:rPr>
          <w:rFonts w:ascii="Verdana" w:eastAsia="Times New Roman" w:hAnsi="Verdana" w:cs="Times New Roman"/>
          <w:b/>
          <w:color w:val="333333"/>
          <w:sz w:val="23"/>
          <w:szCs w:val="23"/>
          <w:lang w:eastAsia="en-GB"/>
        </w:rPr>
      </w:pPr>
      <w:r w:rsidRPr="008D7864">
        <w:rPr>
          <w:rFonts w:ascii="Verdana" w:eastAsia="Times New Roman" w:hAnsi="Verdana" w:cs="Times New Roman"/>
          <w:b/>
          <w:color w:val="333333"/>
          <w:sz w:val="23"/>
          <w:szCs w:val="23"/>
          <w:lang w:eastAsia="en-GB"/>
        </w:rPr>
        <w:t>Youth Achievements</w:t>
      </w:r>
    </w:p>
    <w:p w:rsidR="008D7864" w:rsidRPr="008D7864" w:rsidRDefault="008D7864" w:rsidP="008D7864">
      <w:pPr>
        <w:widowControl w:val="0"/>
        <w:spacing w:after="0" w:line="240" w:lineRule="auto"/>
        <w:rPr>
          <w:rFonts w:ascii="Myriad Pro" w:hAnsi="Myriad Pro"/>
        </w:rPr>
      </w:pPr>
      <w:r w:rsidRPr="008D7864">
        <w:rPr>
          <w:rFonts w:ascii="Myriad Pro" w:hAnsi="Myriad Pro"/>
        </w:rPr>
        <w:t xml:space="preserve">Community Learning and Development staff </w:t>
      </w:r>
      <w:r>
        <w:rPr>
          <w:rFonts w:ascii="Myriad Pro" w:hAnsi="Myriad Pro"/>
        </w:rPr>
        <w:t>have supported</w:t>
      </w:r>
      <w:r w:rsidRPr="008D7864">
        <w:rPr>
          <w:rFonts w:ascii="Myriad Pro" w:hAnsi="Myriad Pro"/>
        </w:rPr>
        <w:t xml:space="preserve"> y</w:t>
      </w:r>
      <w:r>
        <w:rPr>
          <w:rFonts w:ascii="Myriad Pro" w:hAnsi="Myriad Pro"/>
        </w:rPr>
        <w:t>oung people has to achieve a wide range of</w:t>
      </w:r>
      <w:r w:rsidRPr="008D7864">
        <w:rPr>
          <w:rFonts w:ascii="Myriad Pro" w:hAnsi="Myriad Pro"/>
        </w:rPr>
        <w:t xml:space="preserve"> learning targets</w:t>
      </w:r>
      <w:r>
        <w:rPr>
          <w:rFonts w:ascii="Myriad Pro" w:hAnsi="Myriad Pro"/>
        </w:rPr>
        <w:t>. Over 500 young people</w:t>
      </w:r>
      <w:r w:rsidRPr="008D7864">
        <w:rPr>
          <w:rFonts w:ascii="Myriad Pro" w:hAnsi="Myriad Pro"/>
        </w:rPr>
        <w:t xml:space="preserve"> completed externally validated awards such as Dynamic Youth, Youth Achievement, John Muir and Duke of Edinburgh and over 300 are continuing to work towards them. I</w:t>
      </w:r>
      <w:r>
        <w:rPr>
          <w:rFonts w:ascii="Myriad Pro" w:hAnsi="Myriad Pro"/>
        </w:rPr>
        <w:t>n the fourth quarter of the 2014/15</w:t>
      </w:r>
      <w:r w:rsidRPr="008D7864">
        <w:rPr>
          <w:rFonts w:ascii="Myriad Pro" w:hAnsi="Myriad Pro"/>
        </w:rPr>
        <w:t xml:space="preserve"> alone, an additional 1137 young people achieved outcomes – a 46% increase on the quarter 3 total</w:t>
      </w:r>
      <w:r>
        <w:rPr>
          <w:rFonts w:ascii="Myriad Pro" w:hAnsi="Myriad Pro"/>
        </w:rPr>
        <w:t>.</w:t>
      </w:r>
    </w:p>
    <w:p w:rsidR="008D7864" w:rsidRPr="00A43F31" w:rsidRDefault="008D7864" w:rsidP="00F41CCA">
      <w:pPr>
        <w:shd w:val="clear" w:color="auto" w:fill="FFFFFF"/>
        <w:spacing w:before="225" w:after="225" w:line="360" w:lineRule="atLeast"/>
        <w:rPr>
          <w:rFonts w:ascii="Verdana" w:eastAsia="Times New Roman" w:hAnsi="Verdana" w:cs="Times New Roman"/>
          <w:b/>
          <w:color w:val="333333"/>
          <w:lang w:eastAsia="en-GB"/>
        </w:rPr>
      </w:pPr>
      <w:r w:rsidRPr="00A43F31">
        <w:rPr>
          <w:rFonts w:ascii="Verdana" w:eastAsia="Times New Roman" w:hAnsi="Verdana" w:cs="Times New Roman"/>
          <w:b/>
          <w:color w:val="333333"/>
          <w:lang w:eastAsia="en-GB"/>
        </w:rPr>
        <w:lastRenderedPageBreak/>
        <w:t>Participation in Leisure Activities</w:t>
      </w:r>
    </w:p>
    <w:p w:rsidR="008D7864" w:rsidRPr="00676152" w:rsidRDefault="008D7864" w:rsidP="008D7864">
      <w:pPr>
        <w:pStyle w:val="NormalWeb"/>
        <w:spacing w:before="120" w:beforeAutospacing="0" w:after="120" w:afterAutospacing="0"/>
        <w:rPr>
          <w:rFonts w:ascii="Myriad Pro" w:hAnsi="Myriad Pro"/>
          <w:sz w:val="22"/>
          <w:szCs w:val="22"/>
          <w:lang w:val="en-US" w:eastAsia="en-US"/>
        </w:rPr>
      </w:pPr>
      <w:r w:rsidRPr="002F4413">
        <w:rPr>
          <w:rFonts w:ascii="Myriad Pro" w:hAnsi="Myriad Pro"/>
          <w:sz w:val="22"/>
          <w:szCs w:val="22"/>
          <w:lang w:val="en-US" w:eastAsia="en-US"/>
        </w:rPr>
        <w:t>The number of users of sports facilities (per thousand of the population), c</w:t>
      </w:r>
      <w:r>
        <w:rPr>
          <w:rFonts w:ascii="Myriad Pro" w:hAnsi="Myriad Pro"/>
          <w:sz w:val="22"/>
          <w:szCs w:val="22"/>
          <w:lang w:val="en-US" w:eastAsia="en-US"/>
        </w:rPr>
        <w:t>ontinued to increase during 2014/15</w:t>
      </w:r>
      <w:r w:rsidRPr="00B32F35">
        <w:rPr>
          <w:rFonts w:ascii="Arial" w:eastAsia="Arial" w:hAnsi="Arial" w:cs="Arial"/>
          <w:color w:val="1D2828"/>
          <w:sz w:val="18"/>
        </w:rPr>
        <w:t xml:space="preserve"> </w:t>
      </w:r>
      <w:r w:rsidRPr="00B32F35">
        <w:rPr>
          <w:rFonts w:ascii="Myriad Pro" w:hAnsi="Myriad Pro"/>
          <w:sz w:val="22"/>
          <w:szCs w:val="22"/>
          <w:lang w:val="en-US" w:eastAsia="en-US"/>
        </w:rPr>
        <w:t xml:space="preserve">Final quarter figures </w:t>
      </w:r>
      <w:r>
        <w:rPr>
          <w:rFonts w:ascii="Myriad Pro" w:hAnsi="Myriad Pro"/>
          <w:sz w:val="22"/>
          <w:szCs w:val="22"/>
          <w:lang w:val="en-US" w:eastAsia="en-US"/>
        </w:rPr>
        <w:t>for the year we</w:t>
      </w:r>
      <w:r w:rsidRPr="00B32F35">
        <w:rPr>
          <w:rFonts w:ascii="Myriad Pro" w:hAnsi="Myriad Pro"/>
          <w:sz w:val="22"/>
          <w:szCs w:val="22"/>
          <w:lang w:val="en-US" w:eastAsia="en-US"/>
        </w:rPr>
        <w:t>re 10% increased on the same quarter in 13/14, with year to date figures being 13% hi</w:t>
      </w:r>
      <w:r>
        <w:rPr>
          <w:rFonts w:ascii="Myriad Pro" w:hAnsi="Myriad Pro"/>
          <w:sz w:val="22"/>
          <w:szCs w:val="22"/>
          <w:lang w:val="en-US" w:eastAsia="en-US"/>
        </w:rPr>
        <w:t>gher.</w:t>
      </w:r>
      <w:r w:rsidRPr="00B32F35">
        <w:rPr>
          <w:rFonts w:ascii="Myriad Pro" w:hAnsi="Myriad Pro"/>
          <w:sz w:val="22"/>
          <w:szCs w:val="22"/>
          <w:lang w:val="en-US" w:eastAsia="en-US"/>
        </w:rPr>
        <w:t xml:space="preserve"> </w:t>
      </w:r>
      <w:r>
        <w:rPr>
          <w:rFonts w:ascii="Myriad Pro" w:hAnsi="Myriad Pro"/>
          <w:sz w:val="22"/>
          <w:szCs w:val="22"/>
          <w:lang w:val="en-US" w:eastAsia="en-US"/>
        </w:rPr>
        <w:t>To achieve this, the Service assessed</w:t>
      </w:r>
      <w:r w:rsidRPr="00B32F35">
        <w:rPr>
          <w:rFonts w:ascii="Myriad Pro" w:hAnsi="Myriad Pro"/>
          <w:sz w:val="22"/>
          <w:szCs w:val="22"/>
          <w:lang w:val="en-US" w:eastAsia="en-US"/>
        </w:rPr>
        <w:t xml:space="preserve"> existing </w:t>
      </w:r>
      <w:proofErr w:type="spellStart"/>
      <w:r w:rsidRPr="00B32F35">
        <w:rPr>
          <w:rFonts w:ascii="Myriad Pro" w:hAnsi="Myriad Pro"/>
          <w:sz w:val="22"/>
          <w:szCs w:val="22"/>
          <w:lang w:val="en-US" w:eastAsia="en-US"/>
        </w:rPr>
        <w:t>programmes</w:t>
      </w:r>
      <w:proofErr w:type="spellEnd"/>
      <w:r w:rsidRPr="00B32F35">
        <w:rPr>
          <w:rFonts w:ascii="Myriad Pro" w:hAnsi="Myriad Pro"/>
          <w:sz w:val="22"/>
          <w:szCs w:val="22"/>
          <w:lang w:val="en-US" w:eastAsia="en-US"/>
        </w:rPr>
        <w:t xml:space="preserve"> to ensure that they both meet community need</w:t>
      </w:r>
      <w:r>
        <w:rPr>
          <w:rFonts w:ascii="Myriad Pro" w:hAnsi="Myriad Pro"/>
          <w:sz w:val="22"/>
          <w:szCs w:val="22"/>
          <w:lang w:val="en-US" w:eastAsia="en-US"/>
        </w:rPr>
        <w:t xml:space="preserve"> and continued to be innovative. In addition, it has sought to plan and deliver</w:t>
      </w:r>
      <w:r w:rsidRPr="00B32F35">
        <w:rPr>
          <w:rFonts w:ascii="Myriad Pro" w:hAnsi="Myriad Pro"/>
          <w:sz w:val="22"/>
          <w:szCs w:val="22"/>
          <w:lang w:val="en-US" w:eastAsia="en-US"/>
        </w:rPr>
        <w:t xml:space="preserve"> </w:t>
      </w:r>
      <w:proofErr w:type="spellStart"/>
      <w:r w:rsidRPr="00B32F35">
        <w:rPr>
          <w:rFonts w:ascii="Myriad Pro" w:hAnsi="Myriad Pro"/>
          <w:sz w:val="22"/>
          <w:szCs w:val="22"/>
          <w:lang w:val="en-US" w:eastAsia="en-US"/>
        </w:rPr>
        <w:t>programme</w:t>
      </w:r>
      <w:r>
        <w:rPr>
          <w:rFonts w:ascii="Myriad Pro" w:hAnsi="Myriad Pro"/>
          <w:sz w:val="22"/>
          <w:szCs w:val="22"/>
          <w:lang w:val="en-US" w:eastAsia="en-US"/>
        </w:rPr>
        <w:t>s</w:t>
      </w:r>
      <w:proofErr w:type="spellEnd"/>
      <w:r w:rsidRPr="00B32F35">
        <w:rPr>
          <w:rFonts w:ascii="Myriad Pro" w:hAnsi="Myriad Pro"/>
          <w:sz w:val="22"/>
          <w:szCs w:val="22"/>
          <w:lang w:val="en-US" w:eastAsia="en-US"/>
        </w:rPr>
        <w:t xml:space="preserve"> of</w:t>
      </w:r>
      <w:r>
        <w:rPr>
          <w:rFonts w:ascii="Myriad Pro" w:hAnsi="Myriad Pro"/>
          <w:sz w:val="22"/>
          <w:szCs w:val="22"/>
          <w:lang w:val="en-US" w:eastAsia="en-US"/>
        </w:rPr>
        <w:t xml:space="preserve"> training courses to enable the </w:t>
      </w:r>
      <w:r w:rsidRPr="00B32F35">
        <w:rPr>
          <w:rFonts w:ascii="Myriad Pro" w:hAnsi="Myriad Pro"/>
          <w:sz w:val="22"/>
          <w:szCs w:val="22"/>
          <w:lang w:val="en-US" w:eastAsia="en-US"/>
        </w:rPr>
        <w:t>deliver</w:t>
      </w:r>
      <w:r>
        <w:rPr>
          <w:rFonts w:ascii="Myriad Pro" w:hAnsi="Myriad Pro"/>
          <w:sz w:val="22"/>
          <w:szCs w:val="22"/>
          <w:lang w:val="en-US" w:eastAsia="en-US"/>
        </w:rPr>
        <w:t>y of</w:t>
      </w:r>
      <w:r w:rsidRPr="00B32F35">
        <w:rPr>
          <w:rFonts w:ascii="Myriad Pro" w:hAnsi="Myriad Pro"/>
          <w:sz w:val="22"/>
          <w:szCs w:val="22"/>
          <w:lang w:val="en-US" w:eastAsia="en-US"/>
        </w:rPr>
        <w:t xml:space="preserve"> a wider </w:t>
      </w:r>
      <w:proofErr w:type="spellStart"/>
      <w:r w:rsidRPr="00B32F35">
        <w:rPr>
          <w:rFonts w:ascii="Myriad Pro" w:hAnsi="Myriad Pro"/>
          <w:sz w:val="22"/>
          <w:szCs w:val="22"/>
          <w:lang w:val="en-US" w:eastAsia="en-US"/>
        </w:rPr>
        <w:t>pro</w:t>
      </w:r>
      <w:r>
        <w:rPr>
          <w:rFonts w:ascii="Myriad Pro" w:hAnsi="Myriad Pro"/>
          <w:sz w:val="22"/>
          <w:szCs w:val="22"/>
          <w:lang w:val="en-US" w:eastAsia="en-US"/>
        </w:rPr>
        <w:t>gramme</w:t>
      </w:r>
      <w:proofErr w:type="spellEnd"/>
      <w:r>
        <w:rPr>
          <w:rFonts w:ascii="Myriad Pro" w:hAnsi="Myriad Pro"/>
          <w:sz w:val="22"/>
          <w:szCs w:val="22"/>
          <w:lang w:val="en-US" w:eastAsia="en-US"/>
        </w:rPr>
        <w:t xml:space="preserve"> of activities across Aberdeenshire.</w:t>
      </w:r>
    </w:p>
    <w:p w:rsidR="008D7864" w:rsidRPr="00A43F31" w:rsidRDefault="00E860C3" w:rsidP="00F41CCA">
      <w:pPr>
        <w:shd w:val="clear" w:color="auto" w:fill="FFFFFF"/>
        <w:spacing w:before="225" w:after="225" w:line="360" w:lineRule="atLeast"/>
        <w:rPr>
          <w:rFonts w:ascii="Verdana" w:eastAsia="Times New Roman" w:hAnsi="Verdana" w:cs="Times New Roman"/>
          <w:b/>
          <w:color w:val="333333"/>
          <w:lang w:eastAsia="en-GB"/>
        </w:rPr>
      </w:pPr>
      <w:r w:rsidRPr="00A43F31">
        <w:rPr>
          <w:rFonts w:ascii="Verdana" w:eastAsia="Times New Roman" w:hAnsi="Verdana" w:cs="Times New Roman"/>
          <w:b/>
          <w:color w:val="333333"/>
          <w:lang w:eastAsia="en-GB"/>
        </w:rPr>
        <w:t>Youth Music Initiative</w:t>
      </w:r>
    </w:p>
    <w:p w:rsidR="00E860C3" w:rsidRPr="00C629EE" w:rsidRDefault="00E860C3" w:rsidP="00E860C3">
      <w:pPr>
        <w:pStyle w:val="NormalWeb"/>
        <w:spacing w:before="120" w:beforeAutospacing="0" w:after="120" w:afterAutospacing="0"/>
        <w:rPr>
          <w:rFonts w:ascii="Myriad Pro" w:hAnsi="Myriad Pro"/>
          <w:sz w:val="22"/>
          <w:szCs w:val="22"/>
          <w:lang w:val="en-US" w:eastAsia="en-US"/>
        </w:rPr>
      </w:pPr>
      <w:r w:rsidRPr="006B48A7">
        <w:rPr>
          <w:rFonts w:ascii="Myriad Pro" w:hAnsi="Myriad Pro"/>
          <w:sz w:val="22"/>
          <w:szCs w:val="22"/>
          <w:lang w:val="en-US" w:eastAsia="en-US"/>
        </w:rPr>
        <w:t>Aberdeenshire run</w:t>
      </w:r>
      <w:r>
        <w:rPr>
          <w:rFonts w:ascii="Myriad Pro" w:hAnsi="Myriad Pro"/>
          <w:sz w:val="22"/>
          <w:szCs w:val="22"/>
          <w:lang w:val="en-US" w:eastAsia="en-US"/>
        </w:rPr>
        <w:t>s</w:t>
      </w:r>
      <w:r w:rsidRPr="006B48A7">
        <w:rPr>
          <w:rFonts w:ascii="Myriad Pro" w:hAnsi="Myriad Pro"/>
          <w:sz w:val="22"/>
          <w:szCs w:val="22"/>
          <w:lang w:val="en-US" w:eastAsia="en-US"/>
        </w:rPr>
        <w:t xml:space="preserve"> the 2nd largest Y</w:t>
      </w:r>
      <w:r>
        <w:rPr>
          <w:rFonts w:ascii="Myriad Pro" w:hAnsi="Myriad Pro"/>
          <w:sz w:val="22"/>
          <w:szCs w:val="22"/>
          <w:lang w:val="en-US" w:eastAsia="en-US"/>
        </w:rPr>
        <w:t xml:space="preserve">outh </w:t>
      </w:r>
      <w:r w:rsidRPr="006B48A7">
        <w:rPr>
          <w:rFonts w:ascii="Myriad Pro" w:hAnsi="Myriad Pro"/>
          <w:sz w:val="22"/>
          <w:szCs w:val="22"/>
          <w:lang w:val="en-US" w:eastAsia="en-US"/>
        </w:rPr>
        <w:t>M</w:t>
      </w:r>
      <w:r>
        <w:rPr>
          <w:rFonts w:ascii="Myriad Pro" w:hAnsi="Myriad Pro"/>
          <w:sz w:val="22"/>
          <w:szCs w:val="22"/>
          <w:lang w:val="en-US" w:eastAsia="en-US"/>
        </w:rPr>
        <w:t xml:space="preserve">usic </w:t>
      </w:r>
      <w:r w:rsidRPr="006B48A7">
        <w:rPr>
          <w:rFonts w:ascii="Myriad Pro" w:hAnsi="Myriad Pro"/>
          <w:sz w:val="22"/>
          <w:szCs w:val="22"/>
          <w:lang w:val="en-US" w:eastAsia="en-US"/>
        </w:rPr>
        <w:t>I</w:t>
      </w:r>
      <w:r>
        <w:rPr>
          <w:rFonts w:ascii="Myriad Pro" w:hAnsi="Myriad Pro"/>
          <w:sz w:val="22"/>
          <w:szCs w:val="22"/>
          <w:lang w:val="en-US" w:eastAsia="en-US"/>
        </w:rPr>
        <w:t>nitiative</w:t>
      </w:r>
      <w:r w:rsidRPr="006B48A7">
        <w:rPr>
          <w:rFonts w:ascii="Myriad Pro" w:hAnsi="Myriad Pro"/>
          <w:sz w:val="22"/>
          <w:szCs w:val="22"/>
          <w:lang w:val="en-US" w:eastAsia="en-US"/>
        </w:rPr>
        <w:t xml:space="preserve"> </w:t>
      </w:r>
      <w:r>
        <w:rPr>
          <w:rFonts w:ascii="Myriad Pro" w:hAnsi="Myriad Pro"/>
          <w:sz w:val="22"/>
          <w:szCs w:val="22"/>
          <w:lang w:val="en-US" w:eastAsia="en-US"/>
        </w:rPr>
        <w:t xml:space="preserve">(YMI) </w:t>
      </w:r>
      <w:proofErr w:type="spellStart"/>
      <w:r w:rsidRPr="006B48A7">
        <w:rPr>
          <w:rFonts w:ascii="Myriad Pro" w:hAnsi="Myriad Pro"/>
          <w:sz w:val="22"/>
          <w:szCs w:val="22"/>
          <w:lang w:val="en-US" w:eastAsia="en-US"/>
        </w:rPr>
        <w:t>programme</w:t>
      </w:r>
      <w:proofErr w:type="spellEnd"/>
      <w:r w:rsidRPr="006B48A7">
        <w:rPr>
          <w:rFonts w:ascii="Myriad Pro" w:hAnsi="Myriad Pro"/>
          <w:sz w:val="22"/>
          <w:szCs w:val="22"/>
          <w:lang w:val="en-US" w:eastAsia="en-US"/>
        </w:rPr>
        <w:t xml:space="preserve"> in Scotland.</w:t>
      </w:r>
      <w:r>
        <w:rPr>
          <w:rFonts w:ascii="Myriad Pro" w:hAnsi="Myriad Pro"/>
          <w:sz w:val="22"/>
          <w:szCs w:val="22"/>
          <w:lang w:val="en-US" w:eastAsia="en-US"/>
        </w:rPr>
        <w:t xml:space="preserve"> Over 2014/15, there was a </w:t>
      </w:r>
      <w:r w:rsidRPr="006B48A7">
        <w:rPr>
          <w:rFonts w:ascii="Myriad Pro" w:hAnsi="Myriad Pro"/>
          <w:sz w:val="22"/>
          <w:szCs w:val="22"/>
          <w:lang w:val="en-US" w:eastAsia="en-US"/>
        </w:rPr>
        <w:t>25% (664) increase in yo</w:t>
      </w:r>
      <w:r>
        <w:rPr>
          <w:rFonts w:ascii="Myriad Pro" w:hAnsi="Myriad Pro"/>
          <w:sz w:val="22"/>
          <w:szCs w:val="22"/>
          <w:lang w:val="en-US" w:eastAsia="en-US"/>
        </w:rPr>
        <w:t xml:space="preserve">ung people participating in and benefitting from </w:t>
      </w:r>
      <w:proofErr w:type="spellStart"/>
      <w:r>
        <w:rPr>
          <w:rFonts w:ascii="Myriad Pro" w:hAnsi="Myriad Pro"/>
          <w:sz w:val="22"/>
          <w:szCs w:val="22"/>
          <w:lang w:val="en-US" w:eastAsia="en-US"/>
        </w:rPr>
        <w:t>programmes</w:t>
      </w:r>
      <w:proofErr w:type="spellEnd"/>
      <w:r>
        <w:rPr>
          <w:rFonts w:ascii="Myriad Pro" w:hAnsi="Myriad Pro"/>
          <w:sz w:val="22"/>
          <w:szCs w:val="22"/>
          <w:lang w:val="en-US" w:eastAsia="en-US"/>
        </w:rPr>
        <w:t xml:space="preserve"> run and organized by Aberdeenshire YMI.</w:t>
      </w:r>
    </w:p>
    <w:p w:rsidR="0069369E" w:rsidRPr="0069369E" w:rsidRDefault="0069369E" w:rsidP="00A43F31">
      <w:pPr>
        <w:autoSpaceDE w:val="0"/>
        <w:autoSpaceDN w:val="0"/>
        <w:adjustRightInd w:val="0"/>
        <w:spacing w:before="240"/>
        <w:rPr>
          <w:rFonts w:ascii="Myriad Pro" w:hAnsi="Myriad Pro"/>
          <w:b/>
        </w:rPr>
      </w:pPr>
      <w:r w:rsidRPr="0069369E">
        <w:rPr>
          <w:rFonts w:ascii="Myriad Pro" w:hAnsi="Myriad Pro"/>
          <w:b/>
        </w:rPr>
        <w:t>Local Learning Community Partnerships</w:t>
      </w:r>
    </w:p>
    <w:p w:rsidR="0069369E" w:rsidRPr="00C94637" w:rsidRDefault="0069369E" w:rsidP="0069369E">
      <w:pPr>
        <w:autoSpaceDE w:val="0"/>
        <w:autoSpaceDN w:val="0"/>
        <w:adjustRightInd w:val="0"/>
        <w:rPr>
          <w:rFonts w:ascii="Myriad Pro" w:hAnsi="Myriad Pro"/>
        </w:rPr>
      </w:pPr>
      <w:r w:rsidRPr="00C94637">
        <w:rPr>
          <w:rFonts w:ascii="Myriad Pro" w:hAnsi="Myriad Pro"/>
        </w:rPr>
        <w:t>As part of Aberdeenshire Council’s response to the statutory “Requirements for Community Learning &amp; Development (Scotland) Regulations 2013”, “Local Learning Community Partnerships” have been set up in each learning community in Aberdeenshire. T</w:t>
      </w:r>
      <w:r>
        <w:rPr>
          <w:rFonts w:ascii="Myriad Pro" w:hAnsi="Myriad Pro"/>
        </w:rPr>
        <w:t>he groups have a remit</w:t>
      </w:r>
      <w:r w:rsidRPr="00C94637">
        <w:rPr>
          <w:rFonts w:ascii="Myriad Pro" w:hAnsi="Myriad Pro"/>
        </w:rPr>
        <w:t xml:space="preserve"> to promote local coordination, audit need and develop a local community learning plan which will support and develop community learning in the area for those who will benefit most. Community </w:t>
      </w:r>
      <w:proofErr w:type="gramStart"/>
      <w:r w:rsidRPr="00C94637">
        <w:rPr>
          <w:rFonts w:ascii="Myriad Pro" w:hAnsi="Myriad Pro"/>
        </w:rPr>
        <w:t>Learning</w:t>
      </w:r>
      <w:proofErr w:type="gramEnd"/>
      <w:r w:rsidRPr="00C94637">
        <w:rPr>
          <w:rFonts w:ascii="Myriad Pro" w:hAnsi="Myriad Pro"/>
        </w:rPr>
        <w:t xml:space="preserve"> and Development staff are working with the groups to facilitate the creation of their Local Learning Community Plan which is organised under the three pillars of Working</w:t>
      </w:r>
      <w:r>
        <w:rPr>
          <w:rFonts w:ascii="Myriad Pro" w:hAnsi="Myriad Pro"/>
        </w:rPr>
        <w:t xml:space="preserve"> with young people, Family and adult learning and </w:t>
      </w:r>
      <w:r w:rsidRPr="00C94637">
        <w:rPr>
          <w:rFonts w:ascii="Myriad Pro" w:hAnsi="Myriad Pro"/>
        </w:rPr>
        <w:t>Supporting community capacity building</w:t>
      </w:r>
      <w:r>
        <w:rPr>
          <w:rFonts w:ascii="Myriad Pro" w:hAnsi="Myriad Pro"/>
        </w:rPr>
        <w:t>.</w:t>
      </w:r>
    </w:p>
    <w:p w:rsidR="00A43F31" w:rsidRDefault="00A43F31" w:rsidP="00A43F31">
      <w:pPr>
        <w:rPr>
          <w:rFonts w:ascii="Arial" w:hAnsi="Arial" w:cs="Arial"/>
          <w:b/>
          <w:sz w:val="24"/>
          <w:szCs w:val="24"/>
        </w:rPr>
      </w:pPr>
    </w:p>
    <w:p w:rsidR="00A43F31" w:rsidRPr="00A43F31" w:rsidRDefault="00A43F31" w:rsidP="00A43F31">
      <w:pPr>
        <w:rPr>
          <w:rFonts w:ascii="Arial" w:hAnsi="Arial" w:cs="Arial"/>
          <w:b/>
        </w:rPr>
      </w:pPr>
      <w:r w:rsidRPr="00A43F31">
        <w:rPr>
          <w:rFonts w:ascii="Arial" w:hAnsi="Arial" w:cs="Arial"/>
          <w:b/>
        </w:rPr>
        <w:t>Partnership working – Place Partnership with Creative Scotland</w:t>
      </w:r>
    </w:p>
    <w:p w:rsidR="00A43F31" w:rsidRPr="00CA70FF" w:rsidRDefault="00A43F31" w:rsidP="00A43F31">
      <w:pPr>
        <w:rPr>
          <w:rFonts w:ascii="Myriad Pro" w:hAnsi="Myriad Pro"/>
        </w:rPr>
      </w:pPr>
      <w:r w:rsidRPr="00CA70FF">
        <w:rPr>
          <w:rFonts w:ascii="Myriad Pro" w:hAnsi="Myriad Pro"/>
        </w:rPr>
        <w:t xml:space="preserve">The Council entered a Place Partnership with Creative Scotland, the national development agency for arts screen and creative industries, which was launched at an event at </w:t>
      </w:r>
      <w:proofErr w:type="spellStart"/>
      <w:r w:rsidRPr="00CA70FF">
        <w:rPr>
          <w:rFonts w:ascii="Myriad Pro" w:hAnsi="Myriad Pro"/>
        </w:rPr>
        <w:t>Finzean</w:t>
      </w:r>
      <w:proofErr w:type="spellEnd"/>
      <w:r w:rsidRPr="00CA70FF">
        <w:rPr>
          <w:rFonts w:ascii="Myriad Pro" w:hAnsi="Myriad Pro"/>
        </w:rPr>
        <w:t xml:space="preserve"> Village Hall in December 2014</w:t>
      </w:r>
    </w:p>
    <w:p w:rsidR="00A43F31" w:rsidRPr="00CA70FF" w:rsidRDefault="00A43F31" w:rsidP="00A43F31">
      <w:pPr>
        <w:rPr>
          <w:rFonts w:ascii="Myriad Pro" w:hAnsi="Myriad Pro"/>
        </w:rPr>
      </w:pPr>
      <w:r>
        <w:rPr>
          <w:rFonts w:ascii="Myriad Pro" w:hAnsi="Myriad Pro"/>
        </w:rPr>
        <w:t>The</w:t>
      </w:r>
      <w:r w:rsidRPr="00CA70FF">
        <w:rPr>
          <w:rFonts w:ascii="Myriad Pro" w:hAnsi="Myriad Pro"/>
        </w:rPr>
        <w:t xml:space="preserve"> partnership work identified four objectives for the programme:</w:t>
      </w:r>
    </w:p>
    <w:p w:rsidR="00A43F31" w:rsidRPr="00CA70FF" w:rsidRDefault="00A43F31" w:rsidP="00A43F31">
      <w:pPr>
        <w:pStyle w:val="NormalWeb"/>
        <w:numPr>
          <w:ilvl w:val="0"/>
          <w:numId w:val="5"/>
        </w:numPr>
        <w:rPr>
          <w:rFonts w:ascii="Myriad Pro" w:hAnsi="Myriad Pro"/>
          <w:sz w:val="22"/>
          <w:szCs w:val="22"/>
          <w:lang w:val="en-US" w:eastAsia="en-US"/>
        </w:rPr>
      </w:pPr>
      <w:r w:rsidRPr="00CA70FF">
        <w:rPr>
          <w:rFonts w:ascii="Myriad Pro" w:hAnsi="Myriad Pro"/>
          <w:sz w:val="22"/>
          <w:szCs w:val="22"/>
          <w:lang w:val="en-US" w:eastAsia="en-US"/>
        </w:rPr>
        <w:lastRenderedPageBreak/>
        <w:t>Celebrate the richness and diversity in arts and culture across Aberdeenshire, both delivered by the Council but equally delivered by the independent and voluntary sector activities.</w:t>
      </w:r>
      <w:r w:rsidRPr="006A0C68">
        <w:rPr>
          <w:noProof/>
        </w:rPr>
        <w:t xml:space="preserve"> </w:t>
      </w:r>
    </w:p>
    <w:p w:rsidR="00A43F31" w:rsidRPr="00CA70FF" w:rsidRDefault="00A43F31" w:rsidP="00A43F31">
      <w:pPr>
        <w:pStyle w:val="NormalWeb"/>
        <w:numPr>
          <w:ilvl w:val="0"/>
          <w:numId w:val="5"/>
        </w:numPr>
        <w:rPr>
          <w:rFonts w:ascii="Myriad Pro" w:hAnsi="Myriad Pro"/>
          <w:sz w:val="22"/>
          <w:szCs w:val="22"/>
          <w:lang w:val="en-US" w:eastAsia="en-US"/>
        </w:rPr>
      </w:pPr>
      <w:r w:rsidRPr="00CA70FF">
        <w:rPr>
          <w:rFonts w:ascii="Myriad Pro" w:hAnsi="Myriad Pro"/>
          <w:sz w:val="22"/>
          <w:szCs w:val="22"/>
          <w:lang w:val="en-US" w:eastAsia="en-US"/>
        </w:rPr>
        <w:t>Support the positive regeneration potential of third sector cultural providers and small arts businesses by promoting greater understanding of their strengths, and building their national profile</w:t>
      </w:r>
    </w:p>
    <w:p w:rsidR="00A43F31" w:rsidRPr="00CA70FF" w:rsidRDefault="00A43F31" w:rsidP="00A43F31">
      <w:pPr>
        <w:pStyle w:val="NormalWeb"/>
        <w:numPr>
          <w:ilvl w:val="0"/>
          <w:numId w:val="5"/>
        </w:numPr>
        <w:rPr>
          <w:rFonts w:ascii="Myriad Pro" w:hAnsi="Myriad Pro"/>
          <w:sz w:val="22"/>
          <w:szCs w:val="22"/>
          <w:lang w:val="en-US" w:eastAsia="en-US"/>
        </w:rPr>
      </w:pPr>
      <w:r w:rsidRPr="00CA70FF">
        <w:rPr>
          <w:rFonts w:ascii="Myriad Pro" w:hAnsi="Myriad Pro"/>
          <w:sz w:val="22"/>
          <w:szCs w:val="22"/>
          <w:lang w:val="en-US" w:eastAsia="en-US"/>
        </w:rPr>
        <w:t xml:space="preserve">Develop local, national and potentially international networks and partnerships, to support local practitioners and </w:t>
      </w:r>
      <w:proofErr w:type="spellStart"/>
      <w:r w:rsidRPr="00CA70FF">
        <w:rPr>
          <w:rFonts w:ascii="Myriad Pro" w:hAnsi="Myriad Pro"/>
          <w:sz w:val="22"/>
          <w:szCs w:val="22"/>
          <w:lang w:val="en-US" w:eastAsia="en-US"/>
        </w:rPr>
        <w:t>organisations</w:t>
      </w:r>
      <w:proofErr w:type="spellEnd"/>
    </w:p>
    <w:p w:rsidR="00A43F31" w:rsidRPr="00CA70FF" w:rsidRDefault="00A43F31" w:rsidP="00A43F31">
      <w:pPr>
        <w:pStyle w:val="NormalWeb"/>
        <w:numPr>
          <w:ilvl w:val="0"/>
          <w:numId w:val="5"/>
        </w:numPr>
        <w:rPr>
          <w:rFonts w:ascii="Myriad Pro" w:hAnsi="Myriad Pro"/>
          <w:sz w:val="22"/>
          <w:szCs w:val="22"/>
          <w:lang w:val="en-US" w:eastAsia="en-US"/>
        </w:rPr>
      </w:pPr>
      <w:r w:rsidRPr="00CA70FF">
        <w:rPr>
          <w:rFonts w:ascii="Myriad Pro" w:hAnsi="Myriad Pro"/>
          <w:sz w:val="22"/>
          <w:szCs w:val="22"/>
          <w:lang w:val="en-US" w:eastAsia="en-US"/>
        </w:rPr>
        <w:t>Demonstrate the benefits of cultural participation in promoting health and well-being for individuals, and stronger sustainable communities</w:t>
      </w:r>
    </w:p>
    <w:p w:rsidR="001C1853" w:rsidRPr="001C1853" w:rsidRDefault="001C1853" w:rsidP="001C1853">
      <w:pPr>
        <w:widowControl w:val="0"/>
        <w:spacing w:after="0" w:line="240" w:lineRule="auto"/>
        <w:ind w:right="401"/>
        <w:rPr>
          <w:rFonts w:ascii="Myriad Pro" w:hAnsi="Myriad Pro"/>
          <w:b/>
        </w:rPr>
      </w:pPr>
      <w:r w:rsidRPr="001C1853">
        <w:rPr>
          <w:rFonts w:ascii="Myriad Pro" w:hAnsi="Myriad Pro"/>
          <w:b/>
        </w:rPr>
        <w:t>Satisfaction Ratings</w:t>
      </w:r>
    </w:p>
    <w:p w:rsidR="001C1853" w:rsidRPr="00960B23" w:rsidRDefault="001C1853" w:rsidP="001C1853">
      <w:pPr>
        <w:pStyle w:val="NormalWeb"/>
        <w:rPr>
          <w:rFonts w:ascii="Myriad Pro" w:hAnsi="Myriad Pro"/>
          <w:sz w:val="22"/>
          <w:szCs w:val="22"/>
          <w:lang w:val="en-US" w:eastAsia="en-US"/>
        </w:rPr>
      </w:pPr>
      <w:r>
        <w:rPr>
          <w:rFonts w:ascii="Myriad Pro" w:hAnsi="Myriad Pro"/>
          <w:sz w:val="22"/>
          <w:szCs w:val="22"/>
          <w:lang w:val="en-US" w:eastAsia="en-US"/>
        </w:rPr>
        <w:t xml:space="preserve">Although LGBF Indicator C&amp;L5a,c &amp; d all indicate a falls in adults expressing satisfaction with Libraries, Museums and Leisure services respectively, Aberdeenshire’ s own reputation tracker, which is based on a much </w:t>
      </w:r>
      <w:r w:rsidR="00F7704B">
        <w:rPr>
          <w:rFonts w:ascii="Myriad Pro" w:hAnsi="Myriad Pro"/>
          <w:sz w:val="22"/>
          <w:szCs w:val="22"/>
          <w:lang w:val="en-US" w:eastAsia="en-US"/>
        </w:rPr>
        <w:t>bigger sample size, indicates  broadly stable levels of satisfaction across these areas at a much higher level. For libraries this was 96%, for Museums it was 90% and for Leisure services it was 86% in 2014/15.</w:t>
      </w:r>
    </w:p>
    <w:p w:rsidR="001C1853" w:rsidRDefault="001C1853" w:rsidP="00F41CCA">
      <w:pPr>
        <w:shd w:val="clear" w:color="auto" w:fill="FFFFFF"/>
        <w:spacing w:before="225" w:after="225" w:line="360" w:lineRule="atLeast"/>
        <w:rPr>
          <w:rFonts w:ascii="Verdana" w:eastAsia="Times New Roman" w:hAnsi="Verdana" w:cs="Times New Roman"/>
          <w:color w:val="333333"/>
          <w:sz w:val="23"/>
          <w:szCs w:val="23"/>
          <w:lang w:eastAsia="en-GB"/>
        </w:rPr>
      </w:pPr>
    </w:p>
    <w:p w:rsidR="00F41CCA" w:rsidRPr="00F41CCA" w:rsidRDefault="00F41CCA" w:rsidP="00F41CCA">
      <w:pPr>
        <w:shd w:val="clear" w:color="auto" w:fill="FFFFFF"/>
        <w:spacing w:before="225" w:after="225" w:line="360" w:lineRule="atLeast"/>
        <w:rPr>
          <w:rFonts w:ascii="Verdana" w:eastAsia="Times New Roman" w:hAnsi="Verdana" w:cs="Times New Roman"/>
          <w:color w:val="333333"/>
          <w:sz w:val="23"/>
          <w:szCs w:val="23"/>
          <w:lang w:eastAsia="en-GB"/>
        </w:rPr>
      </w:pPr>
      <w:r w:rsidRPr="00F41CCA">
        <w:rPr>
          <w:rFonts w:ascii="Verdana" w:eastAsia="Times New Roman" w:hAnsi="Verdana" w:cs="Times New Roman"/>
          <w:color w:val="333333"/>
          <w:sz w:val="23"/>
          <w:szCs w:val="23"/>
          <w:lang w:eastAsia="en-GB"/>
        </w:rPr>
        <w:t>You can view performance for all Cultural Services indicators by </w:t>
      </w:r>
      <w:hyperlink r:id="rId9" w:tgtFrame="_blank" w:history="1">
        <w:r w:rsidRPr="00F41CCA">
          <w:rPr>
            <w:rFonts w:ascii="Verdana" w:eastAsia="Times New Roman" w:hAnsi="Verdana" w:cs="Times New Roman"/>
            <w:color w:val="1D50A9"/>
            <w:sz w:val="23"/>
            <w:szCs w:val="23"/>
            <w:lang w:eastAsia="en-GB"/>
          </w:rPr>
          <w:t>clicking</w:t>
        </w:r>
        <w:r w:rsidRPr="00F41CCA">
          <w:rPr>
            <w:rFonts w:ascii="Verdana" w:eastAsia="Times New Roman" w:hAnsi="Verdana" w:cs="Times New Roman"/>
            <w:color w:val="1D50A9"/>
            <w:sz w:val="23"/>
            <w:szCs w:val="23"/>
            <w:lang w:eastAsia="en-GB"/>
          </w:rPr>
          <w:t xml:space="preserve"> </w:t>
        </w:r>
        <w:r w:rsidRPr="00F41CCA">
          <w:rPr>
            <w:rFonts w:ascii="Verdana" w:eastAsia="Times New Roman" w:hAnsi="Verdana" w:cs="Times New Roman"/>
            <w:color w:val="1D50A9"/>
            <w:sz w:val="23"/>
            <w:szCs w:val="23"/>
            <w:lang w:eastAsia="en-GB"/>
          </w:rPr>
          <w:t>here</w:t>
        </w:r>
      </w:hyperlink>
    </w:p>
    <w:p w:rsidR="00F41CCA" w:rsidRDefault="00F41CCA" w:rsidP="00F41CCA">
      <w:pPr>
        <w:shd w:val="clear" w:color="auto" w:fill="FFFFFF"/>
        <w:spacing w:before="225" w:after="225" w:line="360" w:lineRule="atLeast"/>
        <w:rPr>
          <w:rFonts w:ascii="Verdana" w:eastAsia="Times New Roman" w:hAnsi="Verdana" w:cs="Times New Roman"/>
          <w:b/>
          <w:bCs/>
          <w:color w:val="333333"/>
          <w:sz w:val="23"/>
          <w:szCs w:val="23"/>
          <w:lang w:eastAsia="en-GB"/>
        </w:rPr>
      </w:pPr>
      <w:r w:rsidRPr="00F41CCA">
        <w:rPr>
          <w:rFonts w:ascii="Verdana" w:eastAsia="Times New Roman" w:hAnsi="Verdana" w:cs="Times New Roman"/>
          <w:b/>
          <w:bCs/>
          <w:color w:val="333333"/>
          <w:sz w:val="23"/>
          <w:szCs w:val="23"/>
          <w:lang w:eastAsia="en-GB"/>
        </w:rPr>
        <w:t>What are we doing to improve?</w:t>
      </w:r>
    </w:p>
    <w:p w:rsidR="0067327A" w:rsidRDefault="0067327A" w:rsidP="0067327A">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 xml:space="preserve">We are committed to using a range of </w:t>
      </w:r>
      <w:proofErr w:type="spellStart"/>
      <w:r>
        <w:rPr>
          <w:rFonts w:ascii="Verdana" w:eastAsia="Times New Roman" w:hAnsi="Verdana" w:cs="Times New Roman"/>
          <w:color w:val="333333"/>
          <w:sz w:val="23"/>
          <w:szCs w:val="23"/>
          <w:lang w:eastAsia="en-GB"/>
        </w:rPr>
        <w:t>self evaluative</w:t>
      </w:r>
      <w:proofErr w:type="spellEnd"/>
      <w:r>
        <w:rPr>
          <w:rFonts w:ascii="Verdana" w:eastAsia="Times New Roman" w:hAnsi="Verdana" w:cs="Times New Roman"/>
          <w:color w:val="333333"/>
          <w:sz w:val="23"/>
          <w:szCs w:val="23"/>
          <w:lang w:eastAsia="en-GB"/>
        </w:rPr>
        <w:t xml:space="preserve"> information to inform and drive our plans for improvement. We closely monitor our performance using a range of performance measures and plan and implement interventions where performance is below expectations. We regularly evaluate the quality of all aspects of our work against recognised quality frameworks, and take active steps to address performance issues identified through our own, or via external evaluations. These processes underlie the strategic planning for the improvement activities identified within our Service and Business plans. As a result of our </w:t>
      </w:r>
      <w:r w:rsidR="00F7704B">
        <w:rPr>
          <w:rFonts w:ascii="Verdana" w:eastAsia="Times New Roman" w:hAnsi="Verdana" w:cs="Times New Roman"/>
          <w:color w:val="333333"/>
          <w:sz w:val="23"/>
          <w:szCs w:val="23"/>
          <w:lang w:eastAsia="en-GB"/>
        </w:rPr>
        <w:t>self-evaluation</w:t>
      </w:r>
      <w:r>
        <w:rPr>
          <w:rFonts w:ascii="Verdana" w:eastAsia="Times New Roman" w:hAnsi="Verdana" w:cs="Times New Roman"/>
          <w:color w:val="333333"/>
          <w:sz w:val="23"/>
          <w:szCs w:val="23"/>
          <w:lang w:eastAsia="en-GB"/>
        </w:rPr>
        <w:t xml:space="preserve"> using this range of evidence, include the LGBF performance measures, we have identified the following set of improvement priorities which will inform our improvement activities during 2015/16 and beyond:</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Improve learning and teaching and the quality of the curriculum in our schools, early years and other learning establishment</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lastRenderedPageBreak/>
        <w:t>Improve our performance and raise levels of attainment and achievement</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Provide more flexible early years and childcare services equitably across Aberdeenshire</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Further develop effective integrated working to ensure that children and families receive the support they need, when they need it, and as far as possible, within their local communities</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Ensure that our learning estate is maintained and developed in order to support and facilitate our strategic objectives</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Ensure that our business processes and procedures are effective and efficient and deliver value for money</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Fully develop leadership capacity at all levels across the service. Invest in learning and development of our staff to build capacity and improve leadership</w:t>
      </w:r>
    </w:p>
    <w:p w:rsidR="0067327A" w:rsidRPr="00C95502" w:rsidRDefault="0067327A" w:rsidP="0067327A">
      <w:pPr>
        <w:pStyle w:val="ListParagraph"/>
        <w:numPr>
          <w:ilvl w:val="0"/>
          <w:numId w:val="2"/>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Support economic development by working with communities and by ensuring that young people are ready and able to take up positive and productive post-school destinations</w:t>
      </w:r>
    </w:p>
    <w:p w:rsidR="0067327A" w:rsidRDefault="0067327A" w:rsidP="0067327A">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Although all of the above priorities represent important drivers of our improvement activity, priorities 2, 5 and 6 are particularly relevant to addressing the performance issues highlighted by the Culture and Leisure Services LGBF performance measures for 2014/15.</w:t>
      </w:r>
    </w:p>
    <w:p w:rsidR="007B12C8" w:rsidRDefault="00F41CCA" w:rsidP="00973B71">
      <w:pPr>
        <w:shd w:val="clear" w:color="auto" w:fill="FFFFFF"/>
        <w:spacing w:before="225" w:after="225" w:line="360" w:lineRule="atLeast"/>
      </w:pPr>
      <w:r w:rsidRPr="00F41CCA">
        <w:rPr>
          <w:rFonts w:ascii="Verdana" w:eastAsia="Times New Roman" w:hAnsi="Verdana" w:cs="Times New Roman"/>
          <w:color w:val="333333"/>
          <w:sz w:val="23"/>
          <w:szCs w:val="23"/>
          <w:lang w:eastAsia="en-GB"/>
        </w:rPr>
        <w:t>Find out more about our pla</w:t>
      </w:r>
      <w:bookmarkStart w:id="0" w:name="_GoBack"/>
      <w:bookmarkEnd w:id="0"/>
      <w:r w:rsidRPr="00F41CCA">
        <w:rPr>
          <w:rFonts w:ascii="Verdana" w:eastAsia="Times New Roman" w:hAnsi="Verdana" w:cs="Times New Roman"/>
          <w:color w:val="333333"/>
          <w:sz w:val="23"/>
          <w:szCs w:val="23"/>
          <w:lang w:eastAsia="en-GB"/>
        </w:rPr>
        <w:t>nned improvement actions by </w:t>
      </w:r>
      <w:hyperlink r:id="rId10" w:tgtFrame="_blank" w:history="1">
        <w:r w:rsidRPr="00F41CCA">
          <w:rPr>
            <w:rFonts w:ascii="Verdana" w:eastAsia="Times New Roman" w:hAnsi="Verdana" w:cs="Times New Roman"/>
            <w:color w:val="1D50A9"/>
            <w:sz w:val="23"/>
            <w:szCs w:val="23"/>
            <w:lang w:eastAsia="en-GB"/>
          </w:rPr>
          <w:t>clickin</w:t>
        </w:r>
        <w:r w:rsidRPr="00F41CCA">
          <w:rPr>
            <w:rFonts w:ascii="Verdana" w:eastAsia="Times New Roman" w:hAnsi="Verdana" w:cs="Times New Roman"/>
            <w:color w:val="1D50A9"/>
            <w:sz w:val="23"/>
            <w:szCs w:val="23"/>
            <w:lang w:eastAsia="en-GB"/>
          </w:rPr>
          <w:t>g</w:t>
        </w:r>
        <w:r w:rsidRPr="00F41CCA">
          <w:rPr>
            <w:rFonts w:ascii="Verdana" w:eastAsia="Times New Roman" w:hAnsi="Verdana" w:cs="Times New Roman"/>
            <w:color w:val="1D50A9"/>
            <w:sz w:val="23"/>
            <w:szCs w:val="23"/>
            <w:lang w:eastAsia="en-GB"/>
          </w:rPr>
          <w:t xml:space="preserve"> here</w:t>
        </w:r>
      </w:hyperlink>
    </w:p>
    <w:sectPr w:rsidR="007B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869"/>
    <w:multiLevelType w:val="hybridMultilevel"/>
    <w:tmpl w:val="EDF6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86C5C"/>
    <w:multiLevelType w:val="multilevel"/>
    <w:tmpl w:val="BFB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1D0B"/>
    <w:multiLevelType w:val="hybridMultilevel"/>
    <w:tmpl w:val="B2BA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23EEA"/>
    <w:multiLevelType w:val="hybridMultilevel"/>
    <w:tmpl w:val="B7EA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51221F"/>
    <w:multiLevelType w:val="hybridMultilevel"/>
    <w:tmpl w:val="56D4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CA"/>
    <w:rsid w:val="001179AB"/>
    <w:rsid w:val="001C1853"/>
    <w:rsid w:val="003F787F"/>
    <w:rsid w:val="004D5118"/>
    <w:rsid w:val="004E6585"/>
    <w:rsid w:val="006232BD"/>
    <w:rsid w:val="0067327A"/>
    <w:rsid w:val="006819A9"/>
    <w:rsid w:val="0069369E"/>
    <w:rsid w:val="007B12C8"/>
    <w:rsid w:val="007B57E5"/>
    <w:rsid w:val="00816D81"/>
    <w:rsid w:val="008D7864"/>
    <w:rsid w:val="00930914"/>
    <w:rsid w:val="00973B71"/>
    <w:rsid w:val="00A43F31"/>
    <w:rsid w:val="00AB6B90"/>
    <w:rsid w:val="00CC576F"/>
    <w:rsid w:val="00E860C3"/>
    <w:rsid w:val="00F41CCA"/>
    <w:rsid w:val="00F7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CDFDE-E715-4714-A0E3-A46182E8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1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CC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41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CCA"/>
    <w:rPr>
      <w:b/>
      <w:bCs/>
    </w:rPr>
  </w:style>
  <w:style w:type="character" w:styleId="Hyperlink">
    <w:name w:val="Hyperlink"/>
    <w:basedOn w:val="DefaultParagraphFont"/>
    <w:uiPriority w:val="99"/>
    <w:semiHidden/>
    <w:unhideWhenUsed/>
    <w:rsid w:val="00F41CCA"/>
    <w:rPr>
      <w:color w:val="0000FF"/>
      <w:u w:val="single"/>
    </w:rPr>
  </w:style>
  <w:style w:type="character" w:customStyle="1" w:styleId="apple-converted-space">
    <w:name w:val="apple-converted-space"/>
    <w:basedOn w:val="DefaultParagraphFont"/>
    <w:rsid w:val="00F41CCA"/>
  </w:style>
  <w:style w:type="paragraph" w:styleId="BodyText">
    <w:name w:val="Body Text"/>
    <w:basedOn w:val="Normal"/>
    <w:link w:val="BodyTextChar"/>
    <w:uiPriority w:val="99"/>
    <w:rsid w:val="004E6585"/>
    <w:pPr>
      <w:widowControl w:val="0"/>
      <w:spacing w:after="0" w:line="240" w:lineRule="auto"/>
      <w:ind w:left="113"/>
    </w:pPr>
    <w:rPr>
      <w:rFonts w:ascii="Myriad Pro" w:eastAsia="Calibri" w:hAnsi="Myriad Pro" w:cs="Times New Roman"/>
      <w:lang w:val="en-US"/>
    </w:rPr>
  </w:style>
  <w:style w:type="character" w:customStyle="1" w:styleId="BodyTextChar">
    <w:name w:val="Body Text Char"/>
    <w:basedOn w:val="DefaultParagraphFont"/>
    <w:link w:val="BodyText"/>
    <w:uiPriority w:val="99"/>
    <w:rsid w:val="004E6585"/>
    <w:rPr>
      <w:rFonts w:ascii="Myriad Pro" w:eastAsia="Calibri" w:hAnsi="Myriad Pro" w:cs="Times New Roman"/>
      <w:lang w:val="en-US"/>
    </w:rPr>
  </w:style>
  <w:style w:type="paragraph" w:styleId="ListParagraph">
    <w:name w:val="List Paragraph"/>
    <w:basedOn w:val="Normal"/>
    <w:uiPriority w:val="34"/>
    <w:qFormat/>
    <w:rsid w:val="004E6585"/>
    <w:pPr>
      <w:ind w:left="720"/>
      <w:contextualSpacing/>
    </w:pPr>
  </w:style>
  <w:style w:type="character" w:styleId="FollowedHyperlink">
    <w:name w:val="FollowedHyperlink"/>
    <w:basedOn w:val="DefaultParagraphFont"/>
    <w:uiPriority w:val="99"/>
    <w:semiHidden/>
    <w:unhideWhenUsed/>
    <w:rsid w:val="00973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0964">
      <w:bodyDiv w:val="1"/>
      <w:marLeft w:val="0"/>
      <w:marRight w:val="0"/>
      <w:marTop w:val="0"/>
      <w:marBottom w:val="0"/>
      <w:divBdr>
        <w:top w:val="none" w:sz="0" w:space="0" w:color="auto"/>
        <w:left w:val="none" w:sz="0" w:space="0" w:color="auto"/>
        <w:bottom w:val="none" w:sz="0" w:space="0" w:color="auto"/>
        <w:right w:val="none" w:sz="0" w:space="0" w:color="auto"/>
      </w:divBdr>
    </w:div>
    <w:div w:id="1128935710">
      <w:bodyDiv w:val="1"/>
      <w:marLeft w:val="0"/>
      <w:marRight w:val="0"/>
      <w:marTop w:val="0"/>
      <w:marBottom w:val="0"/>
      <w:divBdr>
        <w:top w:val="none" w:sz="0" w:space="0" w:color="auto"/>
        <w:left w:val="none" w:sz="0" w:space="0" w:color="auto"/>
        <w:bottom w:val="none" w:sz="0" w:space="0" w:color="auto"/>
        <w:right w:val="none" w:sz="0" w:space="0" w:color="auto"/>
      </w:divBdr>
      <w:divsChild>
        <w:div w:id="1777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deenshire.gov.uk/communities-and-events/country-parks/country-parks" TargetMode="External"/><Relationship Id="rId3" Type="http://schemas.openxmlformats.org/officeDocument/2006/relationships/settings" Target="settings.xml"/><Relationship Id="rId7" Type="http://schemas.openxmlformats.org/officeDocument/2006/relationships/hyperlink" Target="http://www.aberdeenshire.gov.uk/libr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shire.gov.uk/leisure-sport-and-culture/museums/museums-in-aberdeenshire" TargetMode="External"/><Relationship Id="rId11" Type="http://schemas.openxmlformats.org/officeDocument/2006/relationships/fontTable" Target="fontTable.xml"/><Relationship Id="rId5" Type="http://schemas.openxmlformats.org/officeDocument/2006/relationships/hyperlink" Target="http://www.aberdeenshire.gov.uk/leisure-sport-and-culture/" TargetMode="External"/><Relationship Id="rId10" Type="http://schemas.openxmlformats.org/officeDocument/2006/relationships/hyperlink" Target="http://www.covalentcpm.com/CovalentWebModule/Dashboard?c=424&amp;i=4564215" TargetMode="External"/><Relationship Id="rId4" Type="http://schemas.openxmlformats.org/officeDocument/2006/relationships/webSettings" Target="webSettings.xml"/><Relationship Id="rId9" Type="http://schemas.openxmlformats.org/officeDocument/2006/relationships/hyperlink" Target="http://www.covalentcpm.com/CovalentWebModule/CovalentWidget?c=424&amp;id=3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Lennon</dc:creator>
  <cp:lastModifiedBy>Dianne Steven</cp:lastModifiedBy>
  <cp:revision>3</cp:revision>
  <dcterms:created xsi:type="dcterms:W3CDTF">2016-03-31T08:27:00Z</dcterms:created>
  <dcterms:modified xsi:type="dcterms:W3CDTF">2016-03-31T11:50:00Z</dcterms:modified>
</cp:coreProperties>
</file>